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608C" w:rsidRPr="00C63F8E" w:rsidRDefault="006B608C" w:rsidP="006B608C">
      <w:pPr>
        <w:autoSpaceDE w:val="0"/>
        <w:autoSpaceDN w:val="0"/>
        <w:bidi/>
        <w:adjustRightInd w:val="0"/>
        <w:spacing w:after="0"/>
        <w:rPr>
          <w:rFonts w:ascii="SakkalMajalla-Bold" w:cs="SakkalMajalla-Bold"/>
          <w:b/>
          <w:bCs/>
          <w:sz w:val="36"/>
          <w:szCs w:val="36"/>
          <w:u w:val="single"/>
        </w:rPr>
      </w:pPr>
      <w:r w:rsidRPr="00C63F8E">
        <w:rPr>
          <w:rFonts w:ascii="SakkalMajalla-Bold" w:cs="SakkalMajalla-Bold" w:hint="cs"/>
          <w:b/>
          <w:bCs/>
          <w:sz w:val="36"/>
          <w:szCs w:val="36"/>
          <w:u w:val="single"/>
          <w:rtl/>
        </w:rPr>
        <w:t>ملخص</w:t>
      </w:r>
      <w:r w:rsidRPr="00C63F8E">
        <w:rPr>
          <w:rFonts w:ascii="SakkalMajalla-Bold" w:cs="SakkalMajalla-Bold"/>
          <w:b/>
          <w:bCs/>
          <w:sz w:val="36"/>
          <w:szCs w:val="36"/>
          <w:u w:val="single"/>
        </w:rPr>
        <w:t xml:space="preserve"> </w:t>
      </w:r>
      <w:r w:rsidRPr="00C63F8E">
        <w:rPr>
          <w:rFonts w:ascii="SakkalMajalla-Bold" w:cs="SakkalMajalla-Bold" w:hint="cs"/>
          <w:b/>
          <w:bCs/>
          <w:sz w:val="36"/>
          <w:szCs w:val="36"/>
          <w:u w:val="single"/>
          <w:rtl/>
        </w:rPr>
        <w:t>الدراسة</w:t>
      </w:r>
      <w:r w:rsidRPr="00C63F8E">
        <w:rPr>
          <w:rFonts w:ascii="SakkalMajalla-Bold" w:cs="SakkalMajalla-Bold"/>
          <w:b/>
          <w:bCs/>
          <w:sz w:val="36"/>
          <w:szCs w:val="36"/>
          <w:u w:val="single"/>
        </w:rPr>
        <w:t>:</w:t>
      </w:r>
    </w:p>
    <w:p w:rsidR="006B608C" w:rsidRDefault="006B608C" w:rsidP="006B608C">
      <w:pPr>
        <w:autoSpaceDE w:val="0"/>
        <w:autoSpaceDN w:val="0"/>
        <w:bidi/>
        <w:adjustRightInd w:val="0"/>
        <w:spacing w:after="0"/>
        <w:ind w:right="-709"/>
        <w:jc w:val="both"/>
        <w:rPr>
          <w:rFonts w:ascii="SakkalMajalla" w:cs="SakkalMajalla"/>
          <w:sz w:val="32"/>
          <w:szCs w:val="32"/>
          <w:rtl/>
        </w:rPr>
      </w:pPr>
    </w:p>
    <w:p w:rsidR="006B608C" w:rsidRDefault="006B608C" w:rsidP="006B608C">
      <w:pPr>
        <w:autoSpaceDE w:val="0"/>
        <w:autoSpaceDN w:val="0"/>
        <w:bidi/>
        <w:adjustRightInd w:val="0"/>
        <w:jc w:val="both"/>
        <w:rPr>
          <w:rFonts w:ascii="Simplified Arabic" w:hAnsi="Simplified Arabic" w:cs="Simplified Arabic"/>
          <w:sz w:val="32"/>
          <w:szCs w:val="32"/>
        </w:rPr>
      </w:pPr>
      <w:r w:rsidRPr="00D91880">
        <w:rPr>
          <w:rFonts w:ascii="Simplified Arabic" w:hAnsi="Simplified Arabic" w:cs="Simplified Arabic"/>
          <w:sz w:val="32"/>
          <w:szCs w:val="32"/>
          <w:rtl/>
        </w:rPr>
        <w:t>تسعى هذه الدراسة إلى استكشاف أثر التمكين الإداري في تعزيز الولاء التنظيمي لدى موظفي بلدية "أولاد معرف"، مع تسليط الضوء على الأهمية البالغة للتمكين في بيئات العمل. ولتحقيق هذا الهدف، تم تقسيم البحث إلى متغيرين رئيسيين</w:t>
      </w:r>
      <w:r w:rsidRPr="00D91880">
        <w:rPr>
          <w:rFonts w:ascii="Simplified Arabic" w:hAnsi="Simplified Arabic" w:cs="Simplified Arabic"/>
          <w:sz w:val="32"/>
          <w:szCs w:val="32"/>
        </w:rPr>
        <w:t xml:space="preserve">: </w:t>
      </w:r>
      <w:r w:rsidRPr="00D91880">
        <w:rPr>
          <w:rFonts w:ascii="Simplified Arabic" w:hAnsi="Simplified Arabic" w:cs="Simplified Arabic"/>
          <w:sz w:val="32"/>
          <w:szCs w:val="32"/>
          <w:rtl/>
        </w:rPr>
        <w:t>التمكين الإداري كمتغير مستقل (ويشمل أبعاد: التدريب، تبادل المعرفة والمعلومات، استقلالية القرار، تفويض السلطة، والحوافز)، والولاء التنظيمي كمتغير تابع (ويقاس عبر أبعاده الثلاثة: العاطفي، المعياري، والاستمراري</w:t>
      </w:r>
      <w:r w:rsidRPr="00D91880">
        <w:rPr>
          <w:rFonts w:ascii="Simplified Arabic" w:hAnsi="Simplified Arabic" w:cs="Simplified Arabic"/>
          <w:sz w:val="32"/>
          <w:szCs w:val="32"/>
        </w:rPr>
        <w:t>(</w:t>
      </w:r>
      <w:r w:rsidRPr="000D0891">
        <w:rPr>
          <w:rFonts w:ascii="Simplified Arabic" w:hAnsi="Simplified Arabic" w:cs="Simplified Arabic"/>
          <w:sz w:val="32"/>
          <w:szCs w:val="32"/>
          <w:rtl/>
        </w:rPr>
        <w:t xml:space="preserve"> </w:t>
      </w:r>
    </w:p>
    <w:p w:rsidR="006B608C" w:rsidRDefault="006B608C" w:rsidP="00946E22">
      <w:pPr>
        <w:autoSpaceDE w:val="0"/>
        <w:autoSpaceDN w:val="0"/>
        <w:bidi/>
        <w:adjustRightInd w:val="0"/>
        <w:jc w:val="both"/>
        <w:rPr>
          <w:rFonts w:ascii="Aldhabi" w:cs="Aldhabi"/>
          <w:sz w:val="36"/>
          <w:szCs w:val="36"/>
        </w:rPr>
      </w:pPr>
      <w:r>
        <w:rPr>
          <w:rFonts w:ascii="Simplified Arabic" w:hAnsi="Simplified Arabic" w:cs="Simplified Arabic" w:hint="cs"/>
          <w:sz w:val="32"/>
          <w:szCs w:val="32"/>
          <w:rtl/>
          <w:lang w:bidi="ar-DZ"/>
        </w:rPr>
        <w:t>ا</w:t>
      </w:r>
      <w:proofErr w:type="spellStart"/>
      <w:r w:rsidRPr="00D91880">
        <w:rPr>
          <w:rFonts w:ascii="Simplified Arabic" w:hAnsi="Simplified Arabic" w:cs="Simplified Arabic"/>
          <w:sz w:val="32"/>
          <w:szCs w:val="32"/>
          <w:rtl/>
        </w:rPr>
        <w:t>عتمدت</w:t>
      </w:r>
      <w:proofErr w:type="spellEnd"/>
      <w:r w:rsidRPr="00D91880">
        <w:rPr>
          <w:rFonts w:ascii="Simplified Arabic" w:hAnsi="Simplified Arabic" w:cs="Simplified Arabic"/>
          <w:sz w:val="32"/>
          <w:szCs w:val="32"/>
          <w:rtl/>
        </w:rPr>
        <w:t xml:space="preserve"> الدراسة على المنهج </w:t>
      </w:r>
      <w:proofErr w:type="spellStart"/>
      <w:r w:rsidR="00946E22">
        <w:rPr>
          <w:rFonts w:ascii="Simplified Arabic" w:hAnsi="Simplified Arabic" w:cs="Simplified Arabic" w:hint="cs"/>
          <w:sz w:val="32"/>
          <w:szCs w:val="32"/>
          <w:rtl/>
        </w:rPr>
        <w:t>ال</w:t>
      </w:r>
      <w:proofErr w:type="spellEnd"/>
      <w:r w:rsidR="00946E22">
        <w:rPr>
          <w:rFonts w:ascii="Simplified Arabic" w:hAnsi="Simplified Arabic" w:cs="Simplified Arabic" w:hint="cs"/>
          <w:sz w:val="32"/>
          <w:szCs w:val="32"/>
          <w:rtl/>
          <w:lang w:bidi="ar-DZ"/>
        </w:rPr>
        <w:t>تحليلي</w:t>
      </w:r>
      <w:r w:rsidRPr="00D91880">
        <w:rPr>
          <w:rFonts w:ascii="Simplified Arabic" w:hAnsi="Simplified Arabic" w:cs="Simplified Arabic"/>
          <w:sz w:val="32"/>
          <w:szCs w:val="32"/>
          <w:rtl/>
        </w:rPr>
        <w:t xml:space="preserve"> باستخدام الاستبيان كأداة رئيسية لجمع البيانات الميدانية من مجتمع بحث تألف من 39 مفردة. وبإخضاع البيانات للتحليل الكمي والكيفي، أسفرت الدراسة عن النتائج الجوهرية التالية: يسهم كل من التدريب، والمشاركة في اتخاذ القرارات، وتفويض السلطة، ونظام الحوافز بشكل فعال في تعزيز التمكين الإداري، والذي يلعب بدوره دوراً محورياً في تحقيق الولاء التنظيمي</w:t>
      </w:r>
      <w:r w:rsidRPr="00D91880">
        <w:rPr>
          <w:rFonts w:ascii="Simplified Arabic" w:hAnsi="Simplified Arabic" w:cs="Simplified Arabic"/>
          <w:sz w:val="32"/>
          <w:szCs w:val="32"/>
        </w:rPr>
        <w:t>.</w:t>
      </w:r>
      <w:r>
        <w:rPr>
          <w:rFonts w:ascii="Aldhabi" w:cs="Aldhabi"/>
          <w:sz w:val="36"/>
          <w:szCs w:val="36"/>
          <w:rtl/>
        </w:rPr>
        <w:tab/>
      </w:r>
    </w:p>
    <w:p w:rsidR="0095475D" w:rsidRDefault="0095475D" w:rsidP="0095475D">
      <w:pPr>
        <w:autoSpaceDE w:val="0"/>
        <w:autoSpaceDN w:val="0"/>
        <w:bidi/>
        <w:adjustRightInd w:val="0"/>
        <w:jc w:val="both"/>
        <w:rPr>
          <w:rFonts w:ascii="Aldhabi" w:cs="Aldhabi"/>
          <w:sz w:val="36"/>
          <w:szCs w:val="36"/>
        </w:rPr>
      </w:pPr>
    </w:p>
    <w:p w:rsidR="0095475D" w:rsidRDefault="0095475D" w:rsidP="0095475D">
      <w:pPr>
        <w:autoSpaceDE w:val="0"/>
        <w:autoSpaceDN w:val="0"/>
        <w:bidi/>
        <w:adjustRightInd w:val="0"/>
        <w:jc w:val="both"/>
        <w:rPr>
          <w:rFonts w:ascii="Aldhabi" w:cs="Aldhabi"/>
          <w:sz w:val="36"/>
          <w:szCs w:val="36"/>
        </w:rPr>
      </w:pPr>
    </w:p>
    <w:p w:rsidR="0095475D" w:rsidRDefault="0095475D" w:rsidP="0095475D">
      <w:pPr>
        <w:autoSpaceDE w:val="0"/>
        <w:autoSpaceDN w:val="0"/>
        <w:bidi/>
        <w:adjustRightInd w:val="0"/>
        <w:jc w:val="both"/>
        <w:rPr>
          <w:rFonts w:ascii="Aldhabi" w:cs="Aldhabi"/>
          <w:sz w:val="36"/>
          <w:szCs w:val="36"/>
        </w:rPr>
      </w:pPr>
    </w:p>
    <w:p w:rsidR="0095475D" w:rsidRDefault="0095475D" w:rsidP="0095475D">
      <w:pPr>
        <w:autoSpaceDE w:val="0"/>
        <w:autoSpaceDN w:val="0"/>
        <w:bidi/>
        <w:adjustRightInd w:val="0"/>
        <w:jc w:val="both"/>
        <w:rPr>
          <w:rFonts w:ascii="Aldhabi" w:cs="Aldhabi"/>
          <w:sz w:val="36"/>
          <w:szCs w:val="36"/>
        </w:rPr>
      </w:pPr>
    </w:p>
    <w:p w:rsidR="0095475D" w:rsidRDefault="0095475D" w:rsidP="0095475D">
      <w:pPr>
        <w:autoSpaceDE w:val="0"/>
        <w:autoSpaceDN w:val="0"/>
        <w:bidi/>
        <w:adjustRightInd w:val="0"/>
        <w:jc w:val="both"/>
        <w:rPr>
          <w:rFonts w:ascii="Aldhabi" w:cs="Aldhabi"/>
          <w:sz w:val="36"/>
          <w:szCs w:val="36"/>
        </w:rPr>
      </w:pPr>
    </w:p>
    <w:p w:rsidR="0095475D" w:rsidRDefault="0095475D" w:rsidP="0095475D">
      <w:pPr>
        <w:autoSpaceDE w:val="0"/>
        <w:autoSpaceDN w:val="0"/>
        <w:bidi/>
        <w:adjustRightInd w:val="0"/>
        <w:jc w:val="both"/>
        <w:rPr>
          <w:rFonts w:ascii="Aldhabi" w:cs="Aldhabi"/>
          <w:sz w:val="36"/>
          <w:szCs w:val="36"/>
        </w:rPr>
      </w:pPr>
    </w:p>
    <w:p w:rsidR="0095475D" w:rsidRDefault="0095475D" w:rsidP="0095475D">
      <w:pPr>
        <w:autoSpaceDE w:val="0"/>
        <w:autoSpaceDN w:val="0"/>
        <w:bidi/>
        <w:adjustRightInd w:val="0"/>
        <w:jc w:val="both"/>
        <w:rPr>
          <w:rFonts w:ascii="Aldhabi" w:cs="Aldhabi"/>
          <w:sz w:val="36"/>
          <w:szCs w:val="36"/>
        </w:rPr>
      </w:pPr>
    </w:p>
    <w:p w:rsidR="0095475D" w:rsidRDefault="0095475D" w:rsidP="0095475D">
      <w:pPr>
        <w:autoSpaceDE w:val="0"/>
        <w:autoSpaceDN w:val="0"/>
        <w:bidi/>
        <w:adjustRightInd w:val="0"/>
        <w:jc w:val="both"/>
        <w:rPr>
          <w:rFonts w:ascii="Aldhabi" w:cs="Aldhabi"/>
          <w:sz w:val="36"/>
          <w:szCs w:val="36"/>
        </w:rPr>
      </w:pPr>
    </w:p>
    <w:p w:rsidR="0095475D" w:rsidRDefault="0095475D" w:rsidP="0095475D">
      <w:pPr>
        <w:autoSpaceDE w:val="0"/>
        <w:autoSpaceDN w:val="0"/>
        <w:bidi/>
        <w:adjustRightInd w:val="0"/>
        <w:jc w:val="both"/>
        <w:rPr>
          <w:rFonts w:ascii="Aldhabi" w:cs="Aldhabi"/>
          <w:sz w:val="36"/>
          <w:szCs w:val="36"/>
        </w:rPr>
      </w:pPr>
    </w:p>
    <w:p w:rsidR="0095475D" w:rsidRDefault="0095475D" w:rsidP="0095475D">
      <w:pPr>
        <w:autoSpaceDE w:val="0"/>
        <w:autoSpaceDN w:val="0"/>
        <w:bidi/>
        <w:adjustRightInd w:val="0"/>
        <w:jc w:val="both"/>
        <w:rPr>
          <w:rFonts w:ascii="Aldhabi" w:cs="Aldhabi"/>
          <w:sz w:val="36"/>
          <w:szCs w:val="36"/>
        </w:rPr>
      </w:pPr>
    </w:p>
    <w:p w:rsidR="0095475D" w:rsidRDefault="0095475D" w:rsidP="0095475D">
      <w:pPr>
        <w:autoSpaceDE w:val="0"/>
        <w:autoSpaceDN w:val="0"/>
        <w:bidi/>
        <w:adjustRightInd w:val="0"/>
        <w:jc w:val="both"/>
        <w:rPr>
          <w:rFonts w:ascii="Aldhabi" w:cs="Aldhabi"/>
          <w:sz w:val="36"/>
          <w:szCs w:val="36"/>
        </w:rPr>
      </w:pPr>
    </w:p>
    <w:p w:rsidR="0095475D" w:rsidRDefault="0095475D" w:rsidP="0095475D">
      <w:pPr>
        <w:autoSpaceDE w:val="0"/>
        <w:autoSpaceDN w:val="0"/>
        <w:bidi/>
        <w:adjustRightInd w:val="0"/>
        <w:jc w:val="both"/>
        <w:rPr>
          <w:rFonts w:ascii="Aldhabi" w:cs="Aldhabi"/>
          <w:sz w:val="36"/>
          <w:szCs w:val="36"/>
        </w:rPr>
      </w:pPr>
    </w:p>
    <w:p w:rsidR="0095475D" w:rsidRDefault="0095475D" w:rsidP="0095475D">
      <w:pPr>
        <w:autoSpaceDE w:val="0"/>
        <w:autoSpaceDN w:val="0"/>
        <w:bidi/>
        <w:adjustRightInd w:val="0"/>
        <w:jc w:val="both"/>
        <w:rPr>
          <w:rFonts w:ascii="Aldhabi" w:cs="Aldhabi"/>
          <w:sz w:val="36"/>
          <w:szCs w:val="36"/>
        </w:rPr>
      </w:pPr>
    </w:p>
    <w:p w:rsidR="006B608C" w:rsidRPr="0095475D" w:rsidRDefault="006B608C" w:rsidP="006B608C">
      <w:pPr>
        <w:autoSpaceDE w:val="0"/>
        <w:autoSpaceDN w:val="0"/>
        <w:bidi/>
        <w:adjustRightInd w:val="0"/>
        <w:spacing w:after="0" w:line="240" w:lineRule="auto"/>
        <w:rPr>
          <w:rFonts w:ascii="Timres new" w:hAnsi="Timres new" w:cs="Aldhabi"/>
          <w:sz w:val="28"/>
          <w:szCs w:val="28"/>
        </w:rPr>
      </w:pPr>
    </w:p>
    <w:p w:rsidR="006B608C" w:rsidRPr="0095475D" w:rsidRDefault="006B608C" w:rsidP="0095475D">
      <w:pPr>
        <w:autoSpaceDE w:val="0"/>
        <w:autoSpaceDN w:val="0"/>
        <w:adjustRightInd w:val="0"/>
        <w:spacing w:line="480" w:lineRule="auto"/>
        <w:jc w:val="both"/>
        <w:rPr>
          <w:rFonts w:ascii="Timres new" w:hAnsi="Timres new" w:cs="Simplified Arabic"/>
          <w:b/>
          <w:bCs/>
          <w:sz w:val="28"/>
          <w:szCs w:val="28"/>
          <w:u w:val="single"/>
          <w:rtl/>
          <w:lang w:val="en-US"/>
        </w:rPr>
      </w:pPr>
      <w:r w:rsidRPr="0095475D">
        <w:rPr>
          <w:rFonts w:ascii="Timres new" w:hAnsi="Timres new" w:cs="Simplified Arabic"/>
          <w:b/>
          <w:bCs/>
          <w:sz w:val="28"/>
          <w:szCs w:val="28"/>
          <w:u w:val="single"/>
          <w:lang w:val="en-US"/>
        </w:rPr>
        <w:t>Abstract</w:t>
      </w:r>
      <w:r w:rsidRPr="0095475D">
        <w:rPr>
          <w:rFonts w:ascii="Timres new" w:hAnsi="Timres new" w:cs="Simplified Arabic"/>
          <w:b/>
          <w:bCs/>
          <w:sz w:val="28"/>
          <w:szCs w:val="28"/>
          <w:u w:val="single"/>
          <w:rtl/>
          <w:lang w:val="en-US"/>
        </w:rPr>
        <w:t>:</w:t>
      </w:r>
    </w:p>
    <w:p w:rsidR="006B608C" w:rsidRPr="0095475D" w:rsidRDefault="006B608C" w:rsidP="0095475D">
      <w:pPr>
        <w:bidi/>
        <w:spacing w:line="480" w:lineRule="auto"/>
        <w:jc w:val="right"/>
        <w:rPr>
          <w:rFonts w:ascii="Timres new" w:hAnsi="Timres new" w:cs="Simplified Arabic"/>
          <w:sz w:val="28"/>
          <w:szCs w:val="28"/>
          <w:lang w:val="en-US"/>
        </w:rPr>
      </w:pPr>
      <w:r w:rsidRPr="0095475D">
        <w:rPr>
          <w:rFonts w:ascii="Timres new" w:hAnsi="Timres new" w:cs="Simplified Arabic"/>
          <w:sz w:val="28"/>
          <w:szCs w:val="28"/>
          <w:lang w:val="en-US"/>
        </w:rPr>
        <w:t>This study seeks to explore the impact of administrative empowerment on enhancing organizational loyalty among employees of the "</w:t>
      </w:r>
      <w:proofErr w:type="spellStart"/>
      <w:r w:rsidRPr="0095475D">
        <w:rPr>
          <w:rFonts w:ascii="Timres new" w:hAnsi="Timres new" w:cs="Simplified Arabic"/>
          <w:sz w:val="28"/>
          <w:szCs w:val="28"/>
          <w:lang w:val="en-US"/>
        </w:rPr>
        <w:t>Oulad</w:t>
      </w:r>
      <w:proofErr w:type="spellEnd"/>
      <w:r w:rsidRPr="0095475D">
        <w:rPr>
          <w:rFonts w:ascii="Timres new" w:hAnsi="Timres new" w:cs="Simplified Arabic"/>
          <w:sz w:val="28"/>
          <w:szCs w:val="28"/>
          <w:lang w:val="en-US"/>
        </w:rPr>
        <w:t xml:space="preserve"> </w:t>
      </w:r>
      <w:proofErr w:type="spellStart"/>
      <w:r w:rsidRPr="0095475D">
        <w:rPr>
          <w:rFonts w:ascii="Timres new" w:hAnsi="Timres new" w:cs="Simplified Arabic"/>
          <w:sz w:val="28"/>
          <w:szCs w:val="28"/>
          <w:lang w:val="en-US"/>
        </w:rPr>
        <w:t>Maarouf</w:t>
      </w:r>
      <w:proofErr w:type="spellEnd"/>
      <w:r w:rsidRPr="0095475D">
        <w:rPr>
          <w:rFonts w:ascii="Timres new" w:hAnsi="Timres new" w:cs="Simplified Arabic"/>
          <w:sz w:val="28"/>
          <w:szCs w:val="28"/>
          <w:lang w:val="en-US"/>
        </w:rPr>
        <w:t>" municipality, highlighting the crucial importance of empowerment in work environments. To achieve this objective, the research was divided into two main variables: administrative empowerment as an independent variable (including dimensions of training, knowledge and information sharing, decision-making autonomy, delegation of authority, and incentives), and organizational loyalty as a dependent variable (measured across its three dimensions: affective, normative, and continuity).</w:t>
      </w:r>
    </w:p>
    <w:p w:rsidR="006B608C" w:rsidRDefault="006B608C" w:rsidP="00BE0E30">
      <w:pPr>
        <w:bidi/>
        <w:spacing w:line="480" w:lineRule="auto"/>
        <w:jc w:val="right"/>
        <w:rPr>
          <w:rFonts w:ascii="Timres new" w:hAnsi="Timres new" w:cs="Simplified Arabic"/>
          <w:sz w:val="28"/>
          <w:szCs w:val="28"/>
          <w:lang w:val="en-US"/>
        </w:rPr>
      </w:pPr>
      <w:r w:rsidRPr="0095475D">
        <w:rPr>
          <w:rFonts w:ascii="Timres new" w:hAnsi="Timres new" w:cs="Simplified Arabic"/>
          <w:sz w:val="28"/>
          <w:szCs w:val="28"/>
          <w:lang w:val="en-US"/>
        </w:rPr>
        <w:t xml:space="preserve">The study employed a </w:t>
      </w:r>
      <w:r w:rsidR="00BE0E30">
        <w:rPr>
          <w:rFonts w:ascii="Timres new" w:hAnsi="Timres new" w:cs="Simplified Arabic"/>
          <w:sz w:val="28"/>
          <w:szCs w:val="28"/>
          <w:lang w:val="en-US"/>
        </w:rPr>
        <w:t>analytical approach</w:t>
      </w:r>
      <w:r w:rsidRPr="0095475D">
        <w:rPr>
          <w:rFonts w:ascii="Timres new" w:hAnsi="Timres new" w:cs="Simplified Arabic"/>
          <w:sz w:val="28"/>
          <w:szCs w:val="28"/>
          <w:lang w:val="en-US"/>
        </w:rPr>
        <w:t>, using a questionnaire as the primary tool for collecting field data from a research population of 39 individuals. Through quantitative and qualitative analysis, the study yielded the following key findings: training, participation in decision-making, delegation of authority, and incentive systems all contribute effectively to enhancing managerial empowerment, which in turn plays a pivotal role in achieving organizational loyalty.</w:t>
      </w:r>
    </w:p>
    <w:p w:rsidR="0095475D" w:rsidRDefault="0095475D" w:rsidP="0095475D">
      <w:pPr>
        <w:bidi/>
        <w:spacing w:line="480" w:lineRule="auto"/>
        <w:jc w:val="right"/>
        <w:rPr>
          <w:rFonts w:ascii="Timres new" w:hAnsi="Timres new" w:cs="Simplified Arabic"/>
          <w:sz w:val="28"/>
          <w:szCs w:val="28"/>
          <w:lang w:val="en-US"/>
        </w:rPr>
      </w:pPr>
    </w:p>
    <w:p w:rsidR="0095475D" w:rsidRDefault="0095475D" w:rsidP="0095475D">
      <w:pPr>
        <w:bidi/>
        <w:spacing w:line="480" w:lineRule="auto"/>
        <w:jc w:val="right"/>
        <w:rPr>
          <w:rFonts w:ascii="Timres new" w:hAnsi="Timres new" w:cs="Simplified Arabic"/>
          <w:sz w:val="28"/>
          <w:szCs w:val="28"/>
          <w:lang w:val="en-US"/>
        </w:rPr>
      </w:pPr>
    </w:p>
    <w:p w:rsidR="0095475D" w:rsidRDefault="0095475D" w:rsidP="0095475D">
      <w:pPr>
        <w:bidi/>
        <w:spacing w:line="480" w:lineRule="auto"/>
        <w:jc w:val="right"/>
        <w:rPr>
          <w:rFonts w:ascii="Timres new" w:hAnsi="Timres new" w:cs="Simplified Arabic"/>
          <w:sz w:val="28"/>
          <w:szCs w:val="28"/>
          <w:lang w:val="en-US"/>
        </w:rPr>
      </w:pPr>
    </w:p>
    <w:p w:rsidR="0095475D" w:rsidRDefault="0095475D" w:rsidP="0095475D">
      <w:pPr>
        <w:bidi/>
        <w:spacing w:line="480" w:lineRule="auto"/>
        <w:jc w:val="right"/>
        <w:rPr>
          <w:rFonts w:ascii="Timres new" w:hAnsi="Timres new" w:cs="Simplified Arabic"/>
          <w:sz w:val="28"/>
          <w:szCs w:val="28"/>
          <w:lang w:val="en-US"/>
        </w:rPr>
      </w:pPr>
    </w:p>
    <w:p w:rsidR="0095475D" w:rsidRDefault="0095475D" w:rsidP="0095475D">
      <w:pPr>
        <w:bidi/>
        <w:spacing w:line="480" w:lineRule="auto"/>
        <w:jc w:val="right"/>
        <w:rPr>
          <w:rFonts w:ascii="Timres new" w:hAnsi="Timres new" w:cs="Simplified Arabic"/>
          <w:sz w:val="28"/>
          <w:szCs w:val="28"/>
          <w:lang w:val="en-US"/>
        </w:rPr>
      </w:pPr>
    </w:p>
    <w:p w:rsidR="0095475D" w:rsidRDefault="0095475D" w:rsidP="0095475D">
      <w:pPr>
        <w:bidi/>
        <w:spacing w:line="480" w:lineRule="auto"/>
        <w:jc w:val="right"/>
        <w:rPr>
          <w:rFonts w:ascii="Timres new" w:hAnsi="Timres new" w:cs="Simplified Arabic"/>
          <w:sz w:val="28"/>
          <w:szCs w:val="28"/>
          <w:lang w:val="en-US"/>
        </w:rPr>
      </w:pPr>
    </w:p>
    <w:p w:rsidR="0095475D" w:rsidRPr="0095475D" w:rsidRDefault="0095475D" w:rsidP="0095475D">
      <w:pPr>
        <w:bidi/>
        <w:spacing w:line="480" w:lineRule="auto"/>
        <w:jc w:val="right"/>
        <w:rPr>
          <w:rFonts w:ascii="Timres new" w:hAnsi="Timres new" w:cs="Simplified Arabic"/>
          <w:sz w:val="28"/>
          <w:szCs w:val="28"/>
          <w:lang w:val="en-US"/>
        </w:rPr>
      </w:pPr>
    </w:p>
    <w:p w:rsidR="006B608C" w:rsidRDefault="006B608C" w:rsidP="0095475D">
      <w:pPr>
        <w:bidi/>
        <w:spacing w:line="480" w:lineRule="auto"/>
        <w:jc w:val="right"/>
        <w:rPr>
          <w:rFonts w:ascii="Timres new" w:hAnsi="Timres new" w:cs="Simplified Arabic"/>
          <w:b/>
          <w:bCs/>
          <w:sz w:val="28"/>
          <w:szCs w:val="28"/>
          <w:u w:val="single"/>
        </w:rPr>
      </w:pPr>
      <w:r w:rsidRPr="0095475D">
        <w:rPr>
          <w:rFonts w:ascii="Timres new" w:hAnsi="Timres new" w:cs="Simplified Arabic"/>
          <w:b/>
          <w:bCs/>
          <w:sz w:val="28"/>
          <w:szCs w:val="28"/>
          <w:u w:val="single"/>
        </w:rPr>
        <w:lastRenderedPageBreak/>
        <w:t>Résumé de l'étude :</w:t>
      </w:r>
    </w:p>
    <w:p w:rsidR="006B608C" w:rsidRPr="0095475D" w:rsidRDefault="006B608C" w:rsidP="0095475D">
      <w:pPr>
        <w:bidi/>
        <w:spacing w:line="480" w:lineRule="auto"/>
        <w:jc w:val="right"/>
        <w:rPr>
          <w:rFonts w:ascii="Timres new" w:hAnsi="Timres new"/>
          <w:sz w:val="28"/>
          <w:szCs w:val="28"/>
        </w:rPr>
      </w:pPr>
      <w:r w:rsidRPr="0095475D">
        <w:rPr>
          <w:rFonts w:ascii="Timres new" w:hAnsi="Timres new"/>
          <w:sz w:val="28"/>
          <w:szCs w:val="28"/>
        </w:rPr>
        <w:t>Cette étude vise à explorer l'impact de l'autonomisation administrative sur le renforcement de la loyauté organisationnelle des employés de la municipalité d'</w:t>
      </w:r>
      <w:proofErr w:type="spellStart"/>
      <w:r w:rsidRPr="0095475D">
        <w:rPr>
          <w:rFonts w:ascii="Timres new" w:hAnsi="Timres new"/>
          <w:sz w:val="28"/>
          <w:szCs w:val="28"/>
        </w:rPr>
        <w:t>Oulad</w:t>
      </w:r>
      <w:proofErr w:type="spellEnd"/>
      <w:r w:rsidRPr="0095475D">
        <w:rPr>
          <w:rFonts w:ascii="Timres new" w:hAnsi="Timres new"/>
          <w:sz w:val="28"/>
          <w:szCs w:val="28"/>
        </w:rPr>
        <w:t xml:space="preserve"> </w:t>
      </w:r>
      <w:proofErr w:type="spellStart"/>
      <w:r w:rsidRPr="0095475D">
        <w:rPr>
          <w:rFonts w:ascii="Timres new" w:hAnsi="Timres new"/>
          <w:sz w:val="28"/>
          <w:szCs w:val="28"/>
        </w:rPr>
        <w:t>Maarouf</w:t>
      </w:r>
      <w:proofErr w:type="spellEnd"/>
      <w:r w:rsidRPr="0095475D">
        <w:rPr>
          <w:rFonts w:ascii="Timres new" w:hAnsi="Timres new"/>
          <w:sz w:val="28"/>
          <w:szCs w:val="28"/>
        </w:rPr>
        <w:t>, soulignant ainsi l'importance cruciale de l'autonomisation dans le milieu professionnel. Pour atteindre cet objectif, la recherche s'articule autour de deux variables principales : l'autonomisation administrative</w:t>
      </w:r>
      <w:r w:rsidRPr="0095475D">
        <w:rPr>
          <w:rStyle w:val="y2iqfc"/>
          <w:rFonts w:ascii="Timres new" w:hAnsi="Timres new"/>
          <w:color w:val="1F1F1F"/>
          <w:sz w:val="28"/>
          <w:szCs w:val="28"/>
        </w:rPr>
        <w:t xml:space="preserve">, </w:t>
      </w:r>
      <w:r w:rsidRPr="0095475D">
        <w:rPr>
          <w:rFonts w:ascii="Timres new" w:hAnsi="Timres new"/>
          <w:sz w:val="28"/>
          <w:szCs w:val="28"/>
        </w:rPr>
        <w:t>variable indépendante (incluant la formation, le partage des connaissances et de l'information, l'autonomie décisionnelle, la délégation de pouvoir et les incitations), et la loyauté organisationnelle, variable dépendante (mesurée selon ses trois dimensions : affective, normative et de continuité).</w:t>
      </w:r>
    </w:p>
    <w:p w:rsidR="006B608C" w:rsidRPr="0095475D" w:rsidRDefault="006B608C" w:rsidP="00946E22">
      <w:pPr>
        <w:bidi/>
        <w:spacing w:line="480" w:lineRule="auto"/>
        <w:jc w:val="right"/>
        <w:rPr>
          <w:rFonts w:ascii="Timres new" w:hAnsi="Timres new"/>
          <w:sz w:val="28"/>
          <w:szCs w:val="28"/>
        </w:rPr>
      </w:pPr>
      <w:r w:rsidRPr="0095475D">
        <w:rPr>
          <w:rFonts w:ascii="Timres new" w:hAnsi="Timres new"/>
          <w:sz w:val="28"/>
          <w:szCs w:val="28"/>
        </w:rPr>
        <w:t xml:space="preserve">L'étude a utilisé une </w:t>
      </w:r>
      <w:r w:rsidR="00946E22">
        <w:rPr>
          <w:rFonts w:ascii="Timres new" w:hAnsi="Timres new"/>
          <w:sz w:val="28"/>
          <w:szCs w:val="28"/>
        </w:rPr>
        <w:t>approche analytique</w:t>
      </w:r>
      <w:r w:rsidRPr="0095475D">
        <w:rPr>
          <w:rFonts w:ascii="Timres new" w:hAnsi="Timres new"/>
          <w:sz w:val="28"/>
          <w:szCs w:val="28"/>
        </w:rPr>
        <w:t>, un questionnaire constituant le principal outil de collecte de données auprès d'un échantillon de 39 personnes. L'analyse quantitative et qualitative a permis de dégager les principaux résultats suivants : la formation, la participation à la prise de décision, la délégation de pouvoirs et les systèmes d'incitation contribuent tous efficacement à renforcer l'autonomie des gestionnaires, laquelle joue un rôle essentiel dans l'obtention de la loyauté organisationnelle.</w:t>
      </w:r>
    </w:p>
    <w:p w:rsidR="006B608C" w:rsidRPr="0095475D" w:rsidRDefault="006B608C" w:rsidP="006B608C">
      <w:pPr>
        <w:bidi/>
        <w:jc w:val="right"/>
      </w:pPr>
    </w:p>
    <w:sectPr w:rsidR="006B608C" w:rsidRPr="0095475D" w:rsidSect="006B608C">
      <w:pgSz w:w="11906" w:h="16838"/>
      <w:pgMar w:top="567" w:right="567" w:bottom="567"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akkalMajalla-Bold">
    <w:panose1 w:val="00000000000000000000"/>
    <w:charset w:val="B2"/>
    <w:family w:val="auto"/>
    <w:notTrueType/>
    <w:pitch w:val="default"/>
    <w:sig w:usb0="00002001" w:usb1="00000000" w:usb2="00000000" w:usb3="00000000" w:csb0="00000040" w:csb1="00000000"/>
  </w:font>
  <w:font w:name="SakkalMajalla">
    <w:panose1 w:val="00000000000000000000"/>
    <w:charset w:val="B2"/>
    <w:family w:val="auto"/>
    <w:notTrueType/>
    <w:pitch w:val="default"/>
    <w:sig w:usb0="00002001" w:usb1="00000000" w:usb2="00000000" w:usb3="00000000" w:csb0="00000040" w:csb1="00000000"/>
  </w:font>
  <w:font w:name="Simplified Arabic">
    <w:panose1 w:val="02020603050405020304"/>
    <w:charset w:val="00"/>
    <w:family w:val="roman"/>
    <w:pitch w:val="variable"/>
    <w:sig w:usb0="00002003" w:usb1="00000000" w:usb2="00000000" w:usb3="00000000" w:csb0="00000041" w:csb1="00000000"/>
  </w:font>
  <w:font w:name="Aldhabi">
    <w:panose1 w:val="00000000000000000000"/>
    <w:charset w:val="B2"/>
    <w:family w:val="auto"/>
    <w:notTrueType/>
    <w:pitch w:val="default"/>
    <w:sig w:usb0="00002001" w:usb1="00000000" w:usb2="00000000" w:usb3="00000000" w:csb0="00000040" w:csb1="00000000"/>
  </w:font>
  <w:font w:name="Timres new">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10"/>
  <w:displayHorizontalDrawingGridEvery w:val="2"/>
  <w:characterSpacingControl w:val="doNotCompress"/>
  <w:compat/>
  <w:rsids>
    <w:rsidRoot w:val="006B608C"/>
    <w:rsid w:val="00376FF4"/>
    <w:rsid w:val="003B2A72"/>
    <w:rsid w:val="006B608C"/>
    <w:rsid w:val="00946E22"/>
    <w:rsid w:val="0095475D"/>
    <w:rsid w:val="00B50F98"/>
    <w:rsid w:val="00BE02F6"/>
    <w:rsid w:val="00BE0E3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608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Char"/>
    <w:uiPriority w:val="99"/>
    <w:unhideWhenUsed/>
    <w:rsid w:val="006B60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HTMLChar">
    <w:name w:val="بتنسيق HTML مسبق Char"/>
    <w:basedOn w:val="a0"/>
    <w:link w:val="HTML"/>
    <w:uiPriority w:val="99"/>
    <w:rsid w:val="006B608C"/>
    <w:rPr>
      <w:rFonts w:ascii="Courier New" w:eastAsia="Times New Roman" w:hAnsi="Courier New" w:cs="Courier New"/>
      <w:sz w:val="20"/>
      <w:szCs w:val="20"/>
      <w:lang w:eastAsia="fr-FR"/>
    </w:rPr>
  </w:style>
  <w:style w:type="character" w:customStyle="1" w:styleId="y2iqfc">
    <w:name w:val="y2iqfc"/>
    <w:basedOn w:val="a0"/>
    <w:rsid w:val="006B608C"/>
  </w:style>
</w:styles>
</file>

<file path=word/webSettings.xml><?xml version="1.0" encoding="utf-8"?>
<w:webSettings xmlns:r="http://schemas.openxmlformats.org/officeDocument/2006/relationships" xmlns:w="http://schemas.openxmlformats.org/wordprocessingml/2006/main">
  <w:divs>
    <w:div w:id="688145235">
      <w:bodyDiv w:val="1"/>
      <w:marLeft w:val="0"/>
      <w:marRight w:val="0"/>
      <w:marTop w:val="0"/>
      <w:marBottom w:val="0"/>
      <w:divBdr>
        <w:top w:val="none" w:sz="0" w:space="0" w:color="auto"/>
        <w:left w:val="none" w:sz="0" w:space="0" w:color="auto"/>
        <w:bottom w:val="none" w:sz="0" w:space="0" w:color="auto"/>
        <w:right w:val="none" w:sz="0" w:space="0" w:color="auto"/>
      </w:divBdr>
    </w:div>
    <w:div w:id="1286887063">
      <w:bodyDiv w:val="1"/>
      <w:marLeft w:val="0"/>
      <w:marRight w:val="0"/>
      <w:marTop w:val="0"/>
      <w:marBottom w:val="0"/>
      <w:divBdr>
        <w:top w:val="none" w:sz="0" w:space="0" w:color="auto"/>
        <w:left w:val="none" w:sz="0" w:space="0" w:color="auto"/>
        <w:bottom w:val="none" w:sz="0" w:space="0" w:color="auto"/>
        <w:right w:val="none" w:sz="0" w:space="0" w:color="auto"/>
      </w:divBdr>
    </w:div>
    <w:div w:id="1665477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488</Words>
  <Characters>2690</Characters>
  <Application>Microsoft Office Word</Application>
  <DocSecurity>0</DocSecurity>
  <Lines>22</Lines>
  <Paragraphs>6</Paragraphs>
  <ScaleCrop>false</ScaleCrop>
  <Company/>
  <LinksUpToDate>false</LinksUpToDate>
  <CharactersWithSpaces>3172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مستخدمين</dc:creator>
  <cp:lastModifiedBy>مستخدمين</cp:lastModifiedBy>
  <cp:revision>8</cp:revision>
  <dcterms:created xsi:type="dcterms:W3CDTF">2026-06-03T10:04:00Z</dcterms:created>
  <dcterms:modified xsi:type="dcterms:W3CDTF">2026-06-07T07:48:00Z</dcterms:modified>
</cp:coreProperties>
</file>